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40C6A" w14:textId="77777777" w:rsidR="00354AAA" w:rsidRPr="00ED02D6" w:rsidRDefault="00354AAA" w:rsidP="00354AAA">
      <w:pPr>
        <w:tabs>
          <w:tab w:val="right" w:leader="dot" w:pos="2835"/>
          <w:tab w:val="right" w:pos="5529"/>
          <w:tab w:val="right" w:leader="dot" w:pos="8931"/>
        </w:tabs>
        <w:snapToGrid w:val="0"/>
        <w:ind w:right="-45"/>
        <w:jc w:val="both"/>
        <w:rPr>
          <w:rFonts w:ascii="Aptos" w:hAnsi="Aptos"/>
          <w:sz w:val="20"/>
          <w:szCs w:val="20"/>
        </w:rPr>
      </w:pPr>
    </w:p>
    <w:p w14:paraId="272FB881" w14:textId="183CC40D" w:rsidR="00ED02D6" w:rsidRPr="001059DF" w:rsidRDefault="001059DF" w:rsidP="001059DF">
      <w:pPr>
        <w:tabs>
          <w:tab w:val="right" w:leader="dot" w:pos="2835"/>
          <w:tab w:val="right" w:pos="5529"/>
          <w:tab w:val="right" w:leader="dot" w:pos="8931"/>
        </w:tabs>
        <w:snapToGrid w:val="0"/>
        <w:ind w:right="-45"/>
        <w:jc w:val="center"/>
        <w:rPr>
          <w:rFonts w:ascii="Aptos" w:hAnsi="Aptos"/>
          <w:b/>
          <w:bCs/>
          <w:lang w:val="en-GB"/>
        </w:rPr>
      </w:pPr>
      <w:r w:rsidRPr="001059DF">
        <w:rPr>
          <w:rFonts w:ascii="Aptos" w:hAnsi="Aptos"/>
          <w:b/>
          <w:bCs/>
          <w:lang w:val="en-GB"/>
        </w:rPr>
        <w:t>Annex</w:t>
      </w:r>
      <w:r w:rsidR="00ED02D6" w:rsidRPr="001059DF">
        <w:rPr>
          <w:rFonts w:ascii="Aptos" w:hAnsi="Aptos"/>
          <w:b/>
          <w:bCs/>
          <w:lang w:val="en-GB"/>
        </w:rPr>
        <w:t xml:space="preserve"> n</w:t>
      </w:r>
      <w:r w:rsidRPr="001059DF">
        <w:rPr>
          <w:rFonts w:ascii="Aptos" w:hAnsi="Aptos"/>
          <w:b/>
          <w:bCs/>
          <w:lang w:val="en-GB"/>
        </w:rPr>
        <w:t>o</w:t>
      </w:r>
      <w:r w:rsidR="00ED02D6" w:rsidRPr="001059DF">
        <w:rPr>
          <w:rFonts w:ascii="Aptos" w:hAnsi="Aptos"/>
          <w:b/>
          <w:bCs/>
          <w:lang w:val="en-GB"/>
        </w:rPr>
        <w:t xml:space="preserve"> </w:t>
      </w:r>
      <w:r w:rsidR="009135E3" w:rsidRPr="001059DF">
        <w:rPr>
          <w:rFonts w:ascii="Aptos" w:hAnsi="Aptos"/>
          <w:b/>
          <w:bCs/>
          <w:lang w:val="en-GB"/>
        </w:rPr>
        <w:t>2</w:t>
      </w:r>
    </w:p>
    <w:p w14:paraId="5AFA4E54" w14:textId="77777777" w:rsidR="001059DF" w:rsidRPr="001059DF" w:rsidRDefault="001059DF" w:rsidP="001059DF">
      <w:pPr>
        <w:tabs>
          <w:tab w:val="right" w:leader="dot" w:pos="2835"/>
          <w:tab w:val="right" w:pos="5529"/>
          <w:tab w:val="right" w:leader="dot" w:pos="8931"/>
        </w:tabs>
        <w:snapToGrid w:val="0"/>
        <w:ind w:right="-45"/>
        <w:jc w:val="center"/>
        <w:rPr>
          <w:rFonts w:ascii="Aptos" w:hAnsi="Aptos"/>
          <w:b/>
          <w:bCs/>
          <w:lang w:val="en-GB"/>
        </w:rPr>
      </w:pPr>
      <w:r w:rsidRPr="001059DF">
        <w:rPr>
          <w:rFonts w:ascii="Aptos" w:hAnsi="Aptos"/>
          <w:b/>
          <w:bCs/>
          <w:lang w:val="en-GB"/>
        </w:rPr>
        <w:t>DECLARATION</w:t>
      </w:r>
    </w:p>
    <w:p w14:paraId="4F9BE0E1" w14:textId="77777777" w:rsidR="001059DF" w:rsidRPr="001059DF" w:rsidRDefault="001059DF" w:rsidP="001059DF">
      <w:pPr>
        <w:tabs>
          <w:tab w:val="right" w:leader="dot" w:pos="2835"/>
          <w:tab w:val="right" w:pos="5529"/>
          <w:tab w:val="right" w:leader="dot" w:pos="8931"/>
        </w:tabs>
        <w:snapToGrid w:val="0"/>
        <w:ind w:right="-45"/>
        <w:jc w:val="center"/>
        <w:rPr>
          <w:rFonts w:ascii="Aptos" w:hAnsi="Aptos"/>
          <w:b/>
          <w:bCs/>
          <w:lang w:val="en-GB"/>
        </w:rPr>
      </w:pPr>
      <w:r w:rsidRPr="001059DF">
        <w:rPr>
          <w:rFonts w:ascii="Aptos" w:hAnsi="Aptos"/>
          <w:b/>
          <w:bCs/>
          <w:lang w:val="en-GB"/>
        </w:rPr>
        <w:t>OF NO GROUNDS FOR EXCLUSION</w:t>
      </w:r>
    </w:p>
    <w:p w14:paraId="527F7B86" w14:textId="77777777" w:rsidR="00354AAA" w:rsidRPr="001059DF" w:rsidRDefault="00354AAA" w:rsidP="00354AAA">
      <w:pPr>
        <w:tabs>
          <w:tab w:val="right" w:leader="dot" w:pos="2835"/>
          <w:tab w:val="right" w:pos="5529"/>
          <w:tab w:val="right" w:leader="dot" w:pos="8931"/>
        </w:tabs>
        <w:snapToGrid w:val="0"/>
        <w:ind w:right="-45"/>
        <w:jc w:val="both"/>
        <w:rPr>
          <w:rFonts w:ascii="Aptos" w:hAnsi="Aptos"/>
          <w:sz w:val="20"/>
          <w:szCs w:val="20"/>
          <w:lang w:val="en-GB"/>
        </w:rPr>
      </w:pPr>
    </w:p>
    <w:p w14:paraId="645DDDF3" w14:textId="3BC40A89" w:rsidR="001059DF" w:rsidRPr="00EF1DD0" w:rsidRDefault="001059DF" w:rsidP="00EF1DD0">
      <w:pPr>
        <w:tabs>
          <w:tab w:val="right" w:leader="dot" w:pos="8931"/>
        </w:tabs>
        <w:snapToGrid w:val="0"/>
        <w:ind w:right="-45"/>
        <w:jc w:val="both"/>
        <w:rPr>
          <w:rFonts w:ascii="Aptos" w:hAnsi="Aptos"/>
          <w:sz w:val="20"/>
          <w:szCs w:val="20"/>
          <w:lang w:val="en-GB"/>
        </w:rPr>
      </w:pPr>
      <w:r w:rsidRPr="001059DF">
        <w:rPr>
          <w:rFonts w:ascii="Aptos" w:hAnsi="Aptos"/>
          <w:sz w:val="20"/>
          <w:szCs w:val="20"/>
          <w:lang w:val="en-GB"/>
        </w:rPr>
        <w:t xml:space="preserve">I, the undersigned .............................................., acting on behalf of .............................................................................................................................................................. (name, address, VAT ID of the Contractor), submitting a tender under Request for Proposal No. 2/CBR/2025 dated 28 November 2025 concerning the </w:t>
      </w:r>
      <w:r w:rsidR="00EF1DD0" w:rsidRPr="00EF1DD0">
        <w:rPr>
          <w:rFonts w:ascii="Aptos" w:hAnsi="Aptos"/>
          <w:sz w:val="20"/>
          <w:szCs w:val="20"/>
          <w:lang w:val="en-GB"/>
        </w:rPr>
        <w:t xml:space="preserve">Supply of a nitrous oxide measurement probe under the project “Construction and equipment of a research and development </w:t>
      </w:r>
      <w:proofErr w:type="spellStart"/>
      <w:r w:rsidR="00EF1DD0" w:rsidRPr="00EF1DD0">
        <w:rPr>
          <w:rFonts w:ascii="Aptos" w:hAnsi="Aptos"/>
          <w:sz w:val="20"/>
          <w:szCs w:val="20"/>
          <w:lang w:val="en-GB"/>
        </w:rPr>
        <w:t>center</w:t>
      </w:r>
      <w:proofErr w:type="spellEnd"/>
      <w:r w:rsidR="00EF1DD0" w:rsidRPr="00EF1DD0">
        <w:rPr>
          <w:rFonts w:ascii="Aptos" w:hAnsi="Aptos"/>
          <w:sz w:val="20"/>
          <w:szCs w:val="20"/>
          <w:lang w:val="en-GB"/>
        </w:rPr>
        <w:t xml:space="preserve"> in the field of the green economy”</w:t>
      </w:r>
      <w:r w:rsidR="00EF1DD0" w:rsidRPr="00EF1DD0">
        <w:rPr>
          <w:rFonts w:ascii="Aptos" w:hAnsi="Aptos"/>
          <w:sz w:val="20"/>
          <w:szCs w:val="20"/>
          <w:lang w:val="en-GB"/>
        </w:rPr>
        <w:t xml:space="preserve"> </w:t>
      </w:r>
      <w:r w:rsidRPr="00EF1DD0">
        <w:rPr>
          <w:rFonts w:ascii="Aptos" w:hAnsi="Aptos"/>
          <w:sz w:val="20"/>
          <w:szCs w:val="20"/>
          <w:lang w:val="en-GB"/>
        </w:rPr>
        <w:t>, hereby declare that:</w:t>
      </w:r>
    </w:p>
    <w:p w14:paraId="5B43252E" w14:textId="77777777" w:rsidR="001059DF" w:rsidRDefault="001059DF" w:rsidP="001059DF">
      <w:pPr>
        <w:tabs>
          <w:tab w:val="right" w:leader="dot" w:pos="2835"/>
          <w:tab w:val="right" w:pos="5529"/>
          <w:tab w:val="right" w:leader="dot" w:pos="8931"/>
        </w:tabs>
        <w:snapToGrid w:val="0"/>
        <w:ind w:right="-45"/>
        <w:jc w:val="both"/>
        <w:rPr>
          <w:rFonts w:ascii="Aptos" w:hAnsi="Aptos"/>
          <w:sz w:val="20"/>
          <w:szCs w:val="20"/>
          <w:lang w:val="en-GB"/>
        </w:rPr>
      </w:pPr>
    </w:p>
    <w:p w14:paraId="31B4DE33" w14:textId="4054FB46" w:rsidR="001059DF" w:rsidRPr="001059DF" w:rsidRDefault="001059DF" w:rsidP="001059DF">
      <w:pPr>
        <w:tabs>
          <w:tab w:val="right" w:leader="dot" w:pos="2835"/>
          <w:tab w:val="right" w:pos="5529"/>
          <w:tab w:val="right" w:leader="dot" w:pos="8931"/>
        </w:tabs>
        <w:snapToGrid w:val="0"/>
        <w:ind w:right="-45"/>
        <w:jc w:val="both"/>
        <w:rPr>
          <w:rFonts w:ascii="Aptos" w:hAnsi="Aptos"/>
          <w:sz w:val="20"/>
          <w:szCs w:val="20"/>
          <w:lang w:val="en-GB"/>
        </w:rPr>
      </w:pPr>
      <w:r w:rsidRPr="00136B43">
        <w:rPr>
          <w:rFonts w:ascii="Aptos" w:hAnsi="Aptos"/>
          <w:b/>
          <w:bCs/>
          <w:sz w:val="20"/>
          <w:szCs w:val="20"/>
          <w:lang w:val="en-GB"/>
        </w:rPr>
        <w:t>I</w:t>
      </w:r>
      <w:r w:rsidRPr="001059DF">
        <w:rPr>
          <w:rFonts w:ascii="Aptos" w:hAnsi="Aptos"/>
          <w:sz w:val="20"/>
          <w:szCs w:val="20"/>
          <w:lang w:val="en-GB"/>
        </w:rPr>
        <w:t>. I hereby declare that there are no personal or capital links between ......................................................................................., hereinafter referred to as the Contractor, and the Contracting Authority.</w:t>
      </w:r>
    </w:p>
    <w:p w14:paraId="02BD0C05" w14:textId="77777777" w:rsidR="001059DF" w:rsidRPr="001059DF" w:rsidRDefault="001059DF" w:rsidP="001059DF">
      <w:pPr>
        <w:tabs>
          <w:tab w:val="right" w:leader="dot" w:pos="2835"/>
          <w:tab w:val="right" w:pos="5529"/>
          <w:tab w:val="right" w:leader="dot" w:pos="8931"/>
        </w:tabs>
        <w:snapToGrid w:val="0"/>
        <w:ind w:right="-45"/>
        <w:jc w:val="both"/>
        <w:rPr>
          <w:rFonts w:ascii="Aptos" w:hAnsi="Aptos"/>
          <w:sz w:val="20"/>
          <w:szCs w:val="20"/>
          <w:lang w:val="en-GB"/>
        </w:rPr>
      </w:pPr>
      <w:r w:rsidRPr="001059DF">
        <w:rPr>
          <w:rFonts w:ascii="Aptos" w:hAnsi="Aptos"/>
          <w:sz w:val="20"/>
          <w:szCs w:val="20"/>
          <w:lang w:val="en-GB"/>
        </w:rPr>
        <w:t>Personal or capital links shall be understood as mutual connections between the beneficiary or persons authorized to incur liabilities on behalf of the beneficiary, or persons performing activities related to the contractor selection procedure on behalf of the beneficiary, and the contractor, consisting in particular of:</w:t>
      </w:r>
    </w:p>
    <w:p w14:paraId="2982C5DA" w14:textId="77777777" w:rsidR="001059DF" w:rsidRPr="001059DF" w:rsidRDefault="001059DF" w:rsidP="001059DF">
      <w:pPr>
        <w:numPr>
          <w:ilvl w:val="0"/>
          <w:numId w:val="3"/>
        </w:numPr>
        <w:tabs>
          <w:tab w:val="right" w:leader="dot" w:pos="2835"/>
          <w:tab w:val="right" w:pos="5529"/>
          <w:tab w:val="right" w:leader="dot" w:pos="8931"/>
        </w:tabs>
        <w:snapToGrid w:val="0"/>
        <w:ind w:right="-45"/>
        <w:jc w:val="both"/>
        <w:rPr>
          <w:rFonts w:ascii="Aptos" w:hAnsi="Aptos"/>
          <w:sz w:val="20"/>
          <w:szCs w:val="20"/>
          <w:lang w:val="en-GB"/>
        </w:rPr>
      </w:pPr>
      <w:r w:rsidRPr="001059DF">
        <w:rPr>
          <w:rFonts w:ascii="Aptos" w:hAnsi="Aptos"/>
          <w:sz w:val="20"/>
          <w:szCs w:val="20"/>
          <w:lang w:val="en-GB"/>
        </w:rPr>
        <w:t>participation in a company as a partner in a civil law partnership or a personal partnership, holding at least 10% of shares or stock (unless a lower threshold results from legal provisions), acting as a member of a supervisory or management body, proxy, or attorney;</w:t>
      </w:r>
    </w:p>
    <w:p w14:paraId="18ED1238" w14:textId="77777777" w:rsidR="001059DF" w:rsidRPr="001059DF" w:rsidRDefault="001059DF" w:rsidP="001059DF">
      <w:pPr>
        <w:numPr>
          <w:ilvl w:val="0"/>
          <w:numId w:val="3"/>
        </w:numPr>
        <w:tabs>
          <w:tab w:val="right" w:leader="dot" w:pos="2835"/>
          <w:tab w:val="right" w:pos="5529"/>
          <w:tab w:val="right" w:leader="dot" w:pos="8931"/>
        </w:tabs>
        <w:snapToGrid w:val="0"/>
        <w:ind w:right="-45"/>
        <w:jc w:val="both"/>
        <w:rPr>
          <w:rFonts w:ascii="Aptos" w:hAnsi="Aptos"/>
          <w:sz w:val="20"/>
          <w:szCs w:val="20"/>
          <w:lang w:val="en-GB"/>
        </w:rPr>
      </w:pPr>
      <w:r w:rsidRPr="001059DF">
        <w:rPr>
          <w:rFonts w:ascii="Aptos" w:hAnsi="Aptos"/>
          <w:sz w:val="20"/>
          <w:szCs w:val="20"/>
          <w:lang w:val="en-GB"/>
        </w:rPr>
        <w:t>being in a marital relationship, in a direct consanguinity or affinity relationship, a collateral consanguinity or affinity relationship up to the second degree, or being related by adoption, custody or guardianship, or being in cohabitation with the contractor, the contractor’s legal representative, or members of the management or supervisory bodies of contractors applying for the contract;</w:t>
      </w:r>
    </w:p>
    <w:p w14:paraId="59E0A68A" w14:textId="77777777" w:rsidR="001059DF" w:rsidRPr="001059DF" w:rsidRDefault="001059DF" w:rsidP="001059DF">
      <w:pPr>
        <w:numPr>
          <w:ilvl w:val="0"/>
          <w:numId w:val="3"/>
        </w:numPr>
        <w:tabs>
          <w:tab w:val="right" w:leader="dot" w:pos="2835"/>
          <w:tab w:val="right" w:pos="5529"/>
          <w:tab w:val="right" w:leader="dot" w:pos="8931"/>
        </w:tabs>
        <w:snapToGrid w:val="0"/>
        <w:ind w:right="-45"/>
        <w:jc w:val="both"/>
        <w:rPr>
          <w:rFonts w:ascii="Aptos" w:hAnsi="Aptos"/>
          <w:sz w:val="20"/>
          <w:szCs w:val="20"/>
          <w:lang w:val="en-GB"/>
        </w:rPr>
      </w:pPr>
      <w:r w:rsidRPr="001059DF">
        <w:rPr>
          <w:rFonts w:ascii="Aptos" w:hAnsi="Aptos"/>
          <w:sz w:val="20"/>
          <w:szCs w:val="20"/>
          <w:lang w:val="en-GB"/>
        </w:rPr>
        <w:t>having a legal or factual relationship with the contractor that may give rise to justified doubts as to their impartiality or independence in connection with the procurement procedure.</w:t>
      </w:r>
    </w:p>
    <w:p w14:paraId="37ADB3DF" w14:textId="56FD097F" w:rsidR="001059DF" w:rsidRPr="001059DF" w:rsidRDefault="001059DF" w:rsidP="001059DF">
      <w:pPr>
        <w:tabs>
          <w:tab w:val="right" w:leader="dot" w:pos="2835"/>
          <w:tab w:val="right" w:pos="5529"/>
          <w:tab w:val="right" w:leader="dot" w:pos="8931"/>
        </w:tabs>
        <w:snapToGrid w:val="0"/>
        <w:ind w:right="-45"/>
        <w:jc w:val="both"/>
        <w:rPr>
          <w:rFonts w:ascii="Aptos" w:hAnsi="Aptos"/>
          <w:sz w:val="20"/>
          <w:szCs w:val="20"/>
          <w:lang w:val="en-GB"/>
        </w:rPr>
      </w:pPr>
      <w:r w:rsidRPr="00136B43">
        <w:rPr>
          <w:rFonts w:ascii="Aptos" w:hAnsi="Aptos"/>
          <w:b/>
          <w:bCs/>
          <w:sz w:val="20"/>
          <w:szCs w:val="20"/>
          <w:lang w:val="en-GB"/>
        </w:rPr>
        <w:t>II.</w:t>
      </w:r>
      <w:r w:rsidRPr="001059DF">
        <w:rPr>
          <w:rFonts w:ascii="Aptos" w:hAnsi="Aptos"/>
          <w:sz w:val="20"/>
          <w:szCs w:val="20"/>
          <w:lang w:val="en-GB"/>
        </w:rPr>
        <w:t xml:space="preserve"> I hereby declare that, as the Contractor, I am not subject to exclusion from the procedure pursuant to Article 7(1) of the Act of 13 April 2022 on special measures for counteracting the support of aggression against Ukraine and for the protection of national security (Journal of Laws 2022, item 835).</w:t>
      </w:r>
    </w:p>
    <w:p w14:paraId="56A8E964" w14:textId="7EE98263" w:rsidR="001059DF" w:rsidRPr="001059DF" w:rsidRDefault="001059DF" w:rsidP="001059DF">
      <w:pPr>
        <w:tabs>
          <w:tab w:val="right" w:leader="dot" w:pos="2835"/>
          <w:tab w:val="right" w:pos="5529"/>
          <w:tab w:val="right" w:leader="dot" w:pos="8931"/>
        </w:tabs>
        <w:snapToGrid w:val="0"/>
        <w:ind w:right="-45"/>
        <w:jc w:val="both"/>
        <w:rPr>
          <w:rFonts w:ascii="Aptos" w:hAnsi="Aptos"/>
          <w:sz w:val="20"/>
          <w:szCs w:val="20"/>
          <w:lang w:val="en-GB"/>
        </w:rPr>
      </w:pPr>
      <w:r w:rsidRPr="00136B43">
        <w:rPr>
          <w:rFonts w:ascii="Aptos" w:hAnsi="Aptos"/>
          <w:b/>
          <w:bCs/>
          <w:sz w:val="20"/>
          <w:szCs w:val="20"/>
          <w:lang w:val="en-GB"/>
        </w:rPr>
        <w:t>III.</w:t>
      </w:r>
      <w:r w:rsidRPr="001059DF">
        <w:rPr>
          <w:rFonts w:ascii="Aptos" w:hAnsi="Aptos"/>
          <w:sz w:val="20"/>
          <w:szCs w:val="20"/>
          <w:lang w:val="en-GB"/>
        </w:rPr>
        <w:t xml:space="preserve"> I hereby declare that, as the Contractor, I am not subject to exclusion from the procedure pursuant to Article 5k of Council Regulation (EU) No. 833/2014 of 31 July 2014 concerning restrictive measures in view of Russia’s actions destabilising the situation in Ukraine (OJ L 229, 31.7.2014, p. 1), as amended by Council Regulation (EU) 2022/576 of 8 April 2022 amending Regulation (EU) No. 833/2014 concerning restrictive measures in view of Russia’s actions destabilising the situation in Ukraine (OJ L 111, 8.4.2022, p. 1).</w:t>
      </w:r>
    </w:p>
    <w:p w14:paraId="39236D89" w14:textId="77777777" w:rsidR="001059DF" w:rsidRPr="001059DF" w:rsidRDefault="001059DF" w:rsidP="001059DF">
      <w:pPr>
        <w:tabs>
          <w:tab w:val="right" w:leader="dot" w:pos="2835"/>
          <w:tab w:val="right" w:pos="5529"/>
          <w:tab w:val="right" w:leader="dot" w:pos="8931"/>
        </w:tabs>
        <w:snapToGrid w:val="0"/>
        <w:ind w:right="-45"/>
        <w:rPr>
          <w:rFonts w:ascii="Aptos" w:hAnsi="Aptos"/>
          <w:sz w:val="20"/>
          <w:szCs w:val="20"/>
          <w:lang w:val="en-GB"/>
        </w:rPr>
      </w:pPr>
    </w:p>
    <w:p w14:paraId="436C9367" w14:textId="77777777" w:rsidR="001059DF" w:rsidRPr="001059DF" w:rsidRDefault="001059DF" w:rsidP="00354AAA">
      <w:pPr>
        <w:tabs>
          <w:tab w:val="right" w:leader="dot" w:pos="2835"/>
          <w:tab w:val="right" w:pos="5529"/>
          <w:tab w:val="right" w:leader="dot" w:pos="8931"/>
        </w:tabs>
        <w:snapToGrid w:val="0"/>
        <w:ind w:right="-45"/>
        <w:jc w:val="right"/>
        <w:rPr>
          <w:rFonts w:ascii="Aptos" w:hAnsi="Aptos"/>
          <w:sz w:val="20"/>
          <w:szCs w:val="20"/>
          <w:lang w:val="en-GB"/>
        </w:rPr>
      </w:pPr>
    </w:p>
    <w:p w14:paraId="1EAE73F6" w14:textId="1F2E046D" w:rsidR="00354AAA" w:rsidRPr="001059DF" w:rsidRDefault="00354AAA" w:rsidP="00354AAA">
      <w:pPr>
        <w:tabs>
          <w:tab w:val="right" w:leader="dot" w:pos="2835"/>
          <w:tab w:val="right" w:pos="5529"/>
          <w:tab w:val="right" w:leader="dot" w:pos="8931"/>
        </w:tabs>
        <w:snapToGrid w:val="0"/>
        <w:ind w:right="-45"/>
        <w:jc w:val="right"/>
        <w:rPr>
          <w:rFonts w:ascii="Aptos" w:hAnsi="Aptos"/>
          <w:sz w:val="20"/>
          <w:szCs w:val="20"/>
          <w:lang w:val="en-GB"/>
        </w:rPr>
      </w:pPr>
      <w:r w:rsidRPr="001059DF">
        <w:rPr>
          <w:rFonts w:ascii="Aptos" w:hAnsi="Aptos"/>
          <w:sz w:val="20"/>
          <w:szCs w:val="20"/>
          <w:lang w:val="en-GB"/>
        </w:rPr>
        <w:tab/>
      </w:r>
    </w:p>
    <w:p w14:paraId="78720DA4" w14:textId="64A6E93D" w:rsidR="00DE011E" w:rsidRPr="00ED02D6" w:rsidRDefault="001059DF" w:rsidP="00ED02D6">
      <w:pPr>
        <w:tabs>
          <w:tab w:val="right" w:leader="dot" w:pos="2835"/>
          <w:tab w:val="right" w:pos="5529"/>
          <w:tab w:val="right" w:leader="dot" w:pos="8931"/>
        </w:tabs>
        <w:snapToGrid w:val="0"/>
        <w:ind w:right="-45"/>
        <w:jc w:val="right"/>
        <w:rPr>
          <w:rFonts w:ascii="Aptos" w:hAnsi="Aptos"/>
        </w:rPr>
      </w:pPr>
      <w:proofErr w:type="spellStart"/>
      <w:r>
        <w:rPr>
          <w:rFonts w:ascii="Aptos" w:hAnsi="Aptos"/>
          <w:i/>
          <w:sz w:val="20"/>
          <w:szCs w:val="20"/>
        </w:rPr>
        <w:t>Signature</w:t>
      </w:r>
      <w:proofErr w:type="spellEnd"/>
      <w:r w:rsidR="00354AAA" w:rsidRPr="00ED02D6">
        <w:rPr>
          <w:rFonts w:ascii="Aptos" w:hAnsi="Aptos"/>
          <w:i/>
          <w:sz w:val="20"/>
          <w:szCs w:val="20"/>
        </w:rPr>
        <w:t xml:space="preserve"> </w:t>
      </w:r>
      <w:r>
        <w:rPr>
          <w:rFonts w:ascii="Aptos" w:hAnsi="Aptos"/>
          <w:i/>
          <w:sz w:val="20"/>
          <w:szCs w:val="20"/>
        </w:rPr>
        <w:t xml:space="preserve">of </w:t>
      </w:r>
      <w:proofErr w:type="spellStart"/>
      <w:r>
        <w:rPr>
          <w:rFonts w:ascii="Aptos" w:hAnsi="Aptos"/>
          <w:i/>
          <w:sz w:val="20"/>
          <w:szCs w:val="20"/>
        </w:rPr>
        <w:t>contractor</w:t>
      </w:r>
      <w:proofErr w:type="spellEnd"/>
    </w:p>
    <w:sectPr w:rsidR="00DE011E" w:rsidRPr="00ED02D6" w:rsidSect="00A82E0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4D782" w14:textId="77777777" w:rsidR="00354AAA" w:rsidRDefault="00354AAA" w:rsidP="00354AAA">
      <w:pPr>
        <w:spacing w:after="0" w:line="240" w:lineRule="auto"/>
      </w:pPr>
      <w:r>
        <w:separator/>
      </w:r>
    </w:p>
  </w:endnote>
  <w:endnote w:type="continuationSeparator" w:id="0">
    <w:p w14:paraId="20A944F3" w14:textId="77777777" w:rsidR="00354AAA" w:rsidRDefault="00354AAA" w:rsidP="00354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altName w:val="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5E472" w14:textId="77777777" w:rsidR="00354AAA" w:rsidRDefault="00354AAA" w:rsidP="00354AAA">
      <w:pPr>
        <w:spacing w:after="0" w:line="240" w:lineRule="auto"/>
      </w:pPr>
      <w:r>
        <w:separator/>
      </w:r>
    </w:p>
  </w:footnote>
  <w:footnote w:type="continuationSeparator" w:id="0">
    <w:p w14:paraId="4750E9C0" w14:textId="77777777" w:rsidR="00354AAA" w:rsidRDefault="00354AAA" w:rsidP="00354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54E9F" w14:textId="02BDED61" w:rsidR="00354AAA" w:rsidRDefault="00354AAA">
    <w:pPr>
      <w:pStyle w:val="Nagwek"/>
    </w:pPr>
    <w:r>
      <w:rPr>
        <w:noProof/>
      </w:rPr>
      <w:drawing>
        <wp:inline distT="0" distB="0" distL="0" distR="0" wp14:anchorId="4B4855CA" wp14:editId="69D68988">
          <wp:extent cx="5760720" cy="608965"/>
          <wp:effectExtent l="0" t="0" r="0" b="635"/>
          <wp:docPr id="1278952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643053"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C0C03"/>
    <w:multiLevelType w:val="multilevel"/>
    <w:tmpl w:val="0A20BB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82B74F1"/>
    <w:multiLevelType w:val="multilevel"/>
    <w:tmpl w:val="4224F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5B2D90"/>
    <w:multiLevelType w:val="hybridMultilevel"/>
    <w:tmpl w:val="96B299E8"/>
    <w:lvl w:ilvl="0" w:tplc="D20A774C">
      <w:start w:val="1"/>
      <w:numFmt w:val="decimal"/>
      <w:lvlText w:val="%1)"/>
      <w:lvlJc w:val="left"/>
      <w:pPr>
        <w:ind w:left="1146" w:hanging="360"/>
      </w:pPr>
      <w:rPr>
        <w:rFonts w:ascii="Cambria" w:eastAsia="Calibri" w:hAnsi="Cambria" w:cs="Times New Roman"/>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16cid:durableId="21433045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50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3319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4BF"/>
    <w:rsid w:val="001059DF"/>
    <w:rsid w:val="00136B43"/>
    <w:rsid w:val="002B5CC1"/>
    <w:rsid w:val="002E5816"/>
    <w:rsid w:val="00321807"/>
    <w:rsid w:val="0033748D"/>
    <w:rsid w:val="00354AAA"/>
    <w:rsid w:val="00415E18"/>
    <w:rsid w:val="004C7E2D"/>
    <w:rsid w:val="004D1E3C"/>
    <w:rsid w:val="005114A9"/>
    <w:rsid w:val="0058382F"/>
    <w:rsid w:val="007224D4"/>
    <w:rsid w:val="00796F79"/>
    <w:rsid w:val="00800FEA"/>
    <w:rsid w:val="008104BF"/>
    <w:rsid w:val="00836D3F"/>
    <w:rsid w:val="009135E3"/>
    <w:rsid w:val="00A63224"/>
    <w:rsid w:val="00A82E0E"/>
    <w:rsid w:val="00AB590B"/>
    <w:rsid w:val="00BE6F48"/>
    <w:rsid w:val="00C91124"/>
    <w:rsid w:val="00CB16E1"/>
    <w:rsid w:val="00D1464F"/>
    <w:rsid w:val="00DC1472"/>
    <w:rsid w:val="00DE011E"/>
    <w:rsid w:val="00E471D6"/>
    <w:rsid w:val="00EA6DA2"/>
    <w:rsid w:val="00ED02D6"/>
    <w:rsid w:val="00EF1DD0"/>
    <w:rsid w:val="00FC4675"/>
    <w:rsid w:val="00FF1A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CA248"/>
  <w15:chartTrackingRefBased/>
  <w15:docId w15:val="{11BB8D52-11FD-4217-8955-20E092C4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AAA"/>
    <w:rPr>
      <w:rFonts w:ascii="Calibri" w:eastAsia="Calibri" w:hAnsi="Calibri" w:cs="Times New Roman"/>
      <w:kern w:val="0"/>
      <w:lang w:val="pl-PL"/>
      <w14:ligatures w14:val="none"/>
    </w:rPr>
  </w:style>
  <w:style w:type="paragraph" w:styleId="Nagwek1">
    <w:name w:val="heading 1"/>
    <w:basedOn w:val="Normalny"/>
    <w:next w:val="Normalny"/>
    <w:link w:val="Nagwek1Znak"/>
    <w:uiPriority w:val="9"/>
    <w:qFormat/>
    <w:rsid w:val="008104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104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104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104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104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104B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104B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104B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104B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04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104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104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104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104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104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104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104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104BF"/>
    <w:rPr>
      <w:rFonts w:eastAsiaTheme="majorEastAsia" w:cstheme="majorBidi"/>
      <w:color w:val="272727" w:themeColor="text1" w:themeTint="D8"/>
    </w:rPr>
  </w:style>
  <w:style w:type="paragraph" w:styleId="Tytu">
    <w:name w:val="Title"/>
    <w:basedOn w:val="Normalny"/>
    <w:next w:val="Normalny"/>
    <w:link w:val="TytuZnak"/>
    <w:uiPriority w:val="10"/>
    <w:qFormat/>
    <w:rsid w:val="008104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104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104B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104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104BF"/>
    <w:pPr>
      <w:spacing w:before="160"/>
      <w:jc w:val="center"/>
    </w:pPr>
    <w:rPr>
      <w:i/>
      <w:iCs/>
      <w:color w:val="404040" w:themeColor="text1" w:themeTint="BF"/>
    </w:rPr>
  </w:style>
  <w:style w:type="character" w:customStyle="1" w:styleId="CytatZnak">
    <w:name w:val="Cytat Znak"/>
    <w:basedOn w:val="Domylnaczcionkaakapitu"/>
    <w:link w:val="Cytat"/>
    <w:uiPriority w:val="29"/>
    <w:rsid w:val="008104BF"/>
    <w:rPr>
      <w:i/>
      <w:iCs/>
      <w:color w:val="404040" w:themeColor="text1" w:themeTint="BF"/>
    </w:rPr>
  </w:style>
  <w:style w:type="paragraph" w:styleId="Akapitzlist">
    <w:name w:val="List Paragraph"/>
    <w:basedOn w:val="Normalny"/>
    <w:uiPriority w:val="34"/>
    <w:qFormat/>
    <w:rsid w:val="008104BF"/>
    <w:pPr>
      <w:ind w:left="720"/>
      <w:contextualSpacing/>
    </w:pPr>
  </w:style>
  <w:style w:type="character" w:styleId="Wyrnienieintensywne">
    <w:name w:val="Intense Emphasis"/>
    <w:basedOn w:val="Domylnaczcionkaakapitu"/>
    <w:uiPriority w:val="21"/>
    <w:qFormat/>
    <w:rsid w:val="008104BF"/>
    <w:rPr>
      <w:i/>
      <w:iCs/>
      <w:color w:val="2F5496" w:themeColor="accent1" w:themeShade="BF"/>
    </w:rPr>
  </w:style>
  <w:style w:type="paragraph" w:styleId="Cytatintensywny">
    <w:name w:val="Intense Quote"/>
    <w:basedOn w:val="Normalny"/>
    <w:next w:val="Normalny"/>
    <w:link w:val="CytatintensywnyZnak"/>
    <w:uiPriority w:val="30"/>
    <w:qFormat/>
    <w:rsid w:val="008104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104BF"/>
    <w:rPr>
      <w:i/>
      <w:iCs/>
      <w:color w:val="2F5496" w:themeColor="accent1" w:themeShade="BF"/>
    </w:rPr>
  </w:style>
  <w:style w:type="character" w:styleId="Odwoanieintensywne">
    <w:name w:val="Intense Reference"/>
    <w:basedOn w:val="Domylnaczcionkaakapitu"/>
    <w:uiPriority w:val="32"/>
    <w:qFormat/>
    <w:rsid w:val="008104BF"/>
    <w:rPr>
      <w:b/>
      <w:bCs/>
      <w:smallCaps/>
      <w:color w:val="2F5496" w:themeColor="accent1" w:themeShade="BF"/>
      <w:spacing w:val="5"/>
    </w:rPr>
  </w:style>
  <w:style w:type="character" w:styleId="Odwoaniedokomentarza">
    <w:name w:val="annotation reference"/>
    <w:uiPriority w:val="99"/>
    <w:semiHidden/>
    <w:unhideWhenUsed/>
    <w:rsid w:val="00354AAA"/>
    <w:rPr>
      <w:sz w:val="18"/>
      <w:szCs w:val="18"/>
    </w:rPr>
  </w:style>
  <w:style w:type="paragraph" w:styleId="Tekstkomentarza">
    <w:name w:val="annotation text"/>
    <w:basedOn w:val="Normalny"/>
    <w:link w:val="TekstkomentarzaZnak"/>
    <w:uiPriority w:val="99"/>
    <w:unhideWhenUsed/>
    <w:rsid w:val="00354AAA"/>
    <w:pPr>
      <w:spacing w:line="240" w:lineRule="auto"/>
    </w:pPr>
    <w:rPr>
      <w:sz w:val="24"/>
      <w:szCs w:val="24"/>
    </w:rPr>
  </w:style>
  <w:style w:type="character" w:customStyle="1" w:styleId="TekstkomentarzaZnak">
    <w:name w:val="Tekst komentarza Znak"/>
    <w:basedOn w:val="Domylnaczcionkaakapitu"/>
    <w:link w:val="Tekstkomentarza"/>
    <w:uiPriority w:val="99"/>
    <w:rsid w:val="00354AAA"/>
    <w:rPr>
      <w:rFonts w:ascii="Calibri" w:eastAsia="Calibri" w:hAnsi="Calibri" w:cs="Times New Roman"/>
      <w:kern w:val="0"/>
      <w:sz w:val="24"/>
      <w:szCs w:val="24"/>
      <w:lang w:val="pl-PL"/>
      <w14:ligatures w14:val="none"/>
    </w:rPr>
  </w:style>
  <w:style w:type="paragraph" w:customStyle="1" w:styleId="Standard">
    <w:name w:val="Standard"/>
    <w:rsid w:val="00354AAA"/>
    <w:pPr>
      <w:widowControl w:val="0"/>
      <w:suppressAutoHyphens/>
      <w:spacing w:after="0" w:line="240" w:lineRule="auto"/>
      <w:textAlignment w:val="baseline"/>
    </w:pPr>
    <w:rPr>
      <w:rFonts w:ascii="Times New Roman" w:eastAsia="Arial Unicode MS" w:hAnsi="Times New Roman" w:cs="Times New Roman"/>
      <w:kern w:val="1"/>
      <w:sz w:val="24"/>
      <w:szCs w:val="24"/>
      <w:lang w:val="pl-PL" w:eastAsia="ar-SA"/>
      <w14:ligatures w14:val="none"/>
    </w:rPr>
  </w:style>
  <w:style w:type="paragraph" w:styleId="Nagwek">
    <w:name w:val="header"/>
    <w:basedOn w:val="Normalny"/>
    <w:link w:val="NagwekZnak"/>
    <w:uiPriority w:val="99"/>
    <w:unhideWhenUsed/>
    <w:rsid w:val="00354A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4AAA"/>
    <w:rPr>
      <w:rFonts w:ascii="Calibri" w:eastAsia="Calibri" w:hAnsi="Calibri" w:cs="Times New Roman"/>
      <w:kern w:val="0"/>
      <w:lang w:val="pl-PL"/>
      <w14:ligatures w14:val="none"/>
    </w:rPr>
  </w:style>
  <w:style w:type="paragraph" w:styleId="Stopka">
    <w:name w:val="footer"/>
    <w:basedOn w:val="Normalny"/>
    <w:link w:val="StopkaZnak"/>
    <w:uiPriority w:val="99"/>
    <w:unhideWhenUsed/>
    <w:rsid w:val="00354A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4AAA"/>
    <w:rPr>
      <w:rFonts w:ascii="Calibri" w:eastAsia="Calibri" w:hAnsi="Calibri" w:cs="Times New Roman"/>
      <w:kern w:val="0"/>
      <w:lang w:val="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414</Words>
  <Characters>2485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Banach-Wiśniewska</dc:creator>
  <cp:keywords/>
  <dc:description/>
  <cp:lastModifiedBy>Mirosław Sojka</cp:lastModifiedBy>
  <cp:revision>14</cp:revision>
  <cp:lastPrinted>2025-12-12T12:53:00Z</cp:lastPrinted>
  <dcterms:created xsi:type="dcterms:W3CDTF">2025-08-20T09:17:00Z</dcterms:created>
  <dcterms:modified xsi:type="dcterms:W3CDTF">2025-12-12T12:53:00Z</dcterms:modified>
</cp:coreProperties>
</file>